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Sistema Solar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Sistema Solar es un sistema planetario de la galaxia Vía Láctea que se encuentra en uno de los brazos de ésta, conocido como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 Brazo de Orión.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Según las últimas estimaciones, el Sistema Solar se encuentra a unos 28 mil años-luz del centro de la Vía Láctea, nuestra galaxia.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Características generales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Los planetas, la mayoría de los planetas y todos los cinturones de asteroides orbitan alrededor del Sol, en la misma dirección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siguiendo órbitas elípticas en sentido antihorario si se observa desde encima del polo norte del Sol.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El plano aproximado en el que giran todos estos se denomina eclíptica. Algunos objetos orbitan con un grado de inclinación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considerable, como Plutón con una inclinación con respecto al eje de la eclíptica de 18º, así como una parte importante de los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objetos del cinturón de Kuiper. Según sus características, y avanzando del interior al exterior, los cuerpos que forman el Sistema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Solar se clasifican en: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Sol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Planetas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Planetas enanos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Satélites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